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EDF3" w14:textId="77777777" w:rsidR="004C0B5C" w:rsidRPr="002C686E" w:rsidRDefault="004C0B5C" w:rsidP="004C0B5C">
      <w:pPr>
        <w:jc w:val="center"/>
        <w:rPr>
          <w:b/>
          <w:bCs/>
          <w:szCs w:val="24"/>
          <w:u w:val="single"/>
        </w:rPr>
      </w:pPr>
      <w:r>
        <w:rPr>
          <w:b/>
          <w:bCs/>
          <w:szCs w:val="24"/>
          <w:u w:val="single"/>
        </w:rPr>
        <w:t xml:space="preserve">ATU </w:t>
      </w:r>
      <w:r w:rsidRPr="002C686E">
        <w:rPr>
          <w:b/>
          <w:bCs/>
          <w:szCs w:val="24"/>
          <w:u w:val="single"/>
        </w:rPr>
        <w:t>LGBTQ+ Bargaining Recommendations Checklist</w:t>
      </w:r>
    </w:p>
    <w:p w14:paraId="7B13662E" w14:textId="77777777" w:rsidR="004C0B5C" w:rsidRPr="002C686E" w:rsidRDefault="004C0B5C" w:rsidP="004C0B5C">
      <w:pPr>
        <w:jc w:val="both"/>
        <w:rPr>
          <w:b/>
          <w:bCs/>
          <w:szCs w:val="24"/>
        </w:rPr>
      </w:pPr>
    </w:p>
    <w:p w14:paraId="3243E9EC" w14:textId="77777777" w:rsidR="004C0B5C" w:rsidRPr="002C686E" w:rsidRDefault="004C0B5C" w:rsidP="004C0B5C">
      <w:pPr>
        <w:jc w:val="both"/>
        <w:rPr>
          <w:b/>
          <w:bCs/>
          <w:szCs w:val="24"/>
        </w:rPr>
      </w:pPr>
      <w:r w:rsidRPr="002C686E">
        <w:rPr>
          <w:b/>
          <w:bCs/>
          <w:szCs w:val="24"/>
        </w:rPr>
        <w:t xml:space="preserve">Non-Discrimination </w:t>
      </w:r>
    </w:p>
    <w:p w14:paraId="7271DC45" w14:textId="5C1DB1CF" w:rsidR="004C0B5C" w:rsidRPr="002C686E" w:rsidRDefault="004C0B5C" w:rsidP="004C0B5C">
      <w:pPr>
        <w:pStyle w:val="ListParagraph"/>
        <w:numPr>
          <w:ilvl w:val="0"/>
          <w:numId w:val="1"/>
        </w:numPr>
        <w:spacing w:after="160" w:line="259" w:lineRule="auto"/>
        <w:jc w:val="both"/>
        <w:rPr>
          <w:rFonts w:ascii="Times New Roman" w:hAnsi="Times New Roman" w:cs="Times New Roman"/>
          <w:sz w:val="24"/>
          <w:szCs w:val="24"/>
        </w:rPr>
      </w:pPr>
      <w:r w:rsidRPr="002C686E">
        <w:rPr>
          <w:rFonts w:ascii="Times New Roman" w:hAnsi="Times New Roman" w:cs="Times New Roman"/>
          <w:sz w:val="24"/>
          <w:szCs w:val="24"/>
        </w:rPr>
        <w:t xml:space="preserve">CBA should prohibit discrimination against employees and job </w:t>
      </w:r>
      <w:r>
        <w:rPr>
          <w:rFonts w:ascii="Times New Roman" w:hAnsi="Times New Roman" w:cs="Times New Roman"/>
          <w:sz w:val="24"/>
          <w:szCs w:val="24"/>
        </w:rPr>
        <w:t>applicants</w:t>
      </w:r>
      <w:r w:rsidRPr="002C686E">
        <w:rPr>
          <w:rFonts w:ascii="Times New Roman" w:hAnsi="Times New Roman" w:cs="Times New Roman"/>
          <w:sz w:val="24"/>
          <w:szCs w:val="24"/>
        </w:rPr>
        <w:t xml:space="preserve"> on the basis of all of the following: gender, sex, gender identity or expression, sexual orientation, HIV status, marital status, and family responsibilities.</w:t>
      </w:r>
    </w:p>
    <w:p w14:paraId="151C4598" w14:textId="77777777" w:rsidR="004C0B5C" w:rsidRPr="002C686E" w:rsidRDefault="004C0B5C" w:rsidP="004C0B5C">
      <w:pPr>
        <w:pStyle w:val="ListParagraph"/>
        <w:numPr>
          <w:ilvl w:val="0"/>
          <w:numId w:val="1"/>
        </w:numPr>
        <w:spacing w:after="160" w:line="259" w:lineRule="auto"/>
        <w:jc w:val="both"/>
        <w:rPr>
          <w:rFonts w:ascii="Times New Roman" w:hAnsi="Times New Roman" w:cs="Times New Roman"/>
          <w:sz w:val="24"/>
          <w:szCs w:val="24"/>
        </w:rPr>
      </w:pPr>
      <w:r w:rsidRPr="002C686E">
        <w:rPr>
          <w:rFonts w:ascii="Times New Roman" w:hAnsi="Times New Roman" w:cs="Times New Roman"/>
          <w:sz w:val="24"/>
          <w:szCs w:val="24"/>
        </w:rPr>
        <w:t xml:space="preserve">CBA should prohibit discrimination on the basis of an employee or job applicant seeking to access, receiving, discussing, or disclosing receipt of reproductive or gender affirming healthcare. </w:t>
      </w:r>
    </w:p>
    <w:p w14:paraId="78A69BE0" w14:textId="77777777" w:rsidR="004C0B5C" w:rsidRPr="002C686E" w:rsidRDefault="004C0B5C" w:rsidP="004C0B5C">
      <w:pPr>
        <w:pStyle w:val="ListParagraph"/>
        <w:numPr>
          <w:ilvl w:val="0"/>
          <w:numId w:val="1"/>
        </w:numPr>
        <w:spacing w:after="240" w:line="259" w:lineRule="auto"/>
        <w:jc w:val="both"/>
        <w:rPr>
          <w:rFonts w:ascii="Times New Roman" w:hAnsi="Times New Roman" w:cs="Times New Roman"/>
          <w:sz w:val="24"/>
          <w:szCs w:val="24"/>
        </w:rPr>
      </w:pPr>
      <w:r w:rsidRPr="002C686E">
        <w:rPr>
          <w:rFonts w:ascii="Times New Roman" w:hAnsi="Times New Roman" w:cs="Times New Roman"/>
          <w:sz w:val="24"/>
          <w:szCs w:val="24"/>
        </w:rPr>
        <w:t xml:space="preserve">CBA should require the Employer to meet and discuss on request any issue regarding discrimination in the workplace. </w:t>
      </w:r>
    </w:p>
    <w:p w14:paraId="2AB6E167" w14:textId="77777777" w:rsidR="004C0B5C" w:rsidRPr="002C686E" w:rsidRDefault="004C0B5C" w:rsidP="004C0B5C">
      <w:pPr>
        <w:spacing w:before="120"/>
        <w:jc w:val="both"/>
        <w:rPr>
          <w:b/>
          <w:bCs/>
          <w:szCs w:val="24"/>
        </w:rPr>
      </w:pPr>
      <w:r w:rsidRPr="002C686E">
        <w:rPr>
          <w:b/>
          <w:bCs/>
          <w:szCs w:val="24"/>
        </w:rPr>
        <w:t>Bathroom Access</w:t>
      </w:r>
    </w:p>
    <w:p w14:paraId="44F1FE2A" w14:textId="681317DA" w:rsidR="004C0B5C" w:rsidRPr="002C686E" w:rsidRDefault="004C0B5C" w:rsidP="004C0B5C">
      <w:pPr>
        <w:pStyle w:val="ListParagraph"/>
        <w:numPr>
          <w:ilvl w:val="0"/>
          <w:numId w:val="2"/>
        </w:numPr>
        <w:spacing w:after="160" w:line="259" w:lineRule="auto"/>
        <w:jc w:val="both"/>
        <w:rPr>
          <w:rFonts w:ascii="Times New Roman" w:hAnsi="Times New Roman" w:cs="Times New Roman"/>
          <w:sz w:val="24"/>
          <w:szCs w:val="24"/>
        </w:rPr>
      </w:pPr>
      <w:r w:rsidRPr="002C686E">
        <w:rPr>
          <w:rFonts w:ascii="Times New Roman" w:hAnsi="Times New Roman" w:cs="Times New Roman"/>
          <w:sz w:val="24"/>
          <w:szCs w:val="24"/>
        </w:rPr>
        <w:t>At the facility, CBA should require the Employer to ensure all employees have timely and regular access to clean, sanit</w:t>
      </w:r>
      <w:r w:rsidR="00A052AC">
        <w:rPr>
          <w:rFonts w:ascii="Times New Roman" w:hAnsi="Times New Roman" w:cs="Times New Roman"/>
          <w:sz w:val="24"/>
          <w:szCs w:val="24"/>
        </w:rPr>
        <w:t>ar</w:t>
      </w:r>
      <w:r w:rsidRPr="002C686E">
        <w:rPr>
          <w:rFonts w:ascii="Times New Roman" w:hAnsi="Times New Roman" w:cs="Times New Roman"/>
          <w:sz w:val="24"/>
          <w:szCs w:val="24"/>
        </w:rPr>
        <w:t>y, and working bathrooms that correspond to their gender identity or are gender neutral.</w:t>
      </w:r>
    </w:p>
    <w:p w14:paraId="12B0719E" w14:textId="77777777" w:rsidR="004C0B5C" w:rsidRPr="002C686E" w:rsidRDefault="004C0B5C" w:rsidP="004C0B5C">
      <w:pPr>
        <w:pStyle w:val="ListParagraph"/>
        <w:numPr>
          <w:ilvl w:val="0"/>
          <w:numId w:val="2"/>
        </w:numPr>
        <w:spacing w:after="160" w:line="259" w:lineRule="auto"/>
        <w:jc w:val="both"/>
        <w:rPr>
          <w:rFonts w:ascii="Times New Roman" w:hAnsi="Times New Roman" w:cs="Times New Roman"/>
          <w:sz w:val="24"/>
          <w:szCs w:val="24"/>
        </w:rPr>
      </w:pPr>
      <w:r w:rsidRPr="002C686E">
        <w:rPr>
          <w:rFonts w:ascii="Times New Roman" w:hAnsi="Times New Roman" w:cs="Times New Roman"/>
          <w:sz w:val="24"/>
          <w:szCs w:val="24"/>
        </w:rPr>
        <w:t xml:space="preserve">CBA should </w:t>
      </w:r>
      <w:proofErr w:type="gramStart"/>
      <w:r w:rsidRPr="002C686E">
        <w:rPr>
          <w:rFonts w:ascii="Times New Roman" w:hAnsi="Times New Roman" w:cs="Times New Roman"/>
          <w:sz w:val="24"/>
          <w:szCs w:val="24"/>
        </w:rPr>
        <w:t>provide</w:t>
      </w:r>
      <w:proofErr w:type="gramEnd"/>
      <w:r w:rsidRPr="002C686E">
        <w:rPr>
          <w:rFonts w:ascii="Times New Roman" w:hAnsi="Times New Roman" w:cs="Times New Roman"/>
          <w:sz w:val="24"/>
          <w:szCs w:val="24"/>
        </w:rPr>
        <w:t xml:space="preserve"> that no employee shall be disciplined for needing to use the restroom.</w:t>
      </w:r>
    </w:p>
    <w:p w14:paraId="16038481" w14:textId="77777777" w:rsidR="004C0B5C" w:rsidRPr="002C686E" w:rsidRDefault="004C0B5C" w:rsidP="004C0B5C">
      <w:pPr>
        <w:pStyle w:val="ListParagraph"/>
        <w:numPr>
          <w:ilvl w:val="0"/>
          <w:numId w:val="2"/>
        </w:numPr>
        <w:spacing w:after="240" w:line="259" w:lineRule="auto"/>
        <w:jc w:val="both"/>
        <w:rPr>
          <w:rFonts w:ascii="Times New Roman" w:hAnsi="Times New Roman" w:cs="Times New Roman"/>
          <w:sz w:val="24"/>
          <w:szCs w:val="24"/>
        </w:rPr>
      </w:pPr>
      <w:r w:rsidRPr="002C686E">
        <w:rPr>
          <w:rFonts w:ascii="Times New Roman" w:hAnsi="Times New Roman" w:cs="Times New Roman"/>
          <w:sz w:val="24"/>
          <w:szCs w:val="24"/>
        </w:rPr>
        <w:t xml:space="preserve">If members have issues accessing bathrooms while outside the facility, CBA should require the Employer to take necessary steps to ensure members’ bathroom access outside the facility, including scheduling layovers and recovery times in runs near bathrooms employees can use, reaching agreements with property owners as needed to allow employees to use bathrooms while away from the facility, and adopting reasonable work rules to facilitate bathroom use while away from the facility. </w:t>
      </w:r>
    </w:p>
    <w:p w14:paraId="1FFF14FE" w14:textId="77777777" w:rsidR="004C0B5C" w:rsidRPr="002C686E" w:rsidRDefault="004C0B5C" w:rsidP="004C0B5C">
      <w:pPr>
        <w:jc w:val="both"/>
        <w:rPr>
          <w:b/>
          <w:bCs/>
          <w:szCs w:val="24"/>
        </w:rPr>
      </w:pPr>
      <w:r w:rsidRPr="002C686E">
        <w:rPr>
          <w:b/>
          <w:bCs/>
          <w:szCs w:val="24"/>
        </w:rPr>
        <w:t>Preferred Name and Gender Designation</w:t>
      </w:r>
    </w:p>
    <w:p w14:paraId="17D51CBB" w14:textId="77777777" w:rsidR="004C0B5C" w:rsidRPr="002C686E" w:rsidRDefault="004C0B5C" w:rsidP="004C0B5C">
      <w:pPr>
        <w:pStyle w:val="ListParagraph"/>
        <w:numPr>
          <w:ilvl w:val="0"/>
          <w:numId w:val="3"/>
        </w:numPr>
        <w:spacing w:after="160" w:line="259" w:lineRule="auto"/>
        <w:jc w:val="both"/>
        <w:rPr>
          <w:rFonts w:ascii="Times New Roman" w:hAnsi="Times New Roman" w:cs="Times New Roman"/>
          <w:sz w:val="24"/>
          <w:szCs w:val="24"/>
        </w:rPr>
      </w:pPr>
      <w:r w:rsidRPr="002C686E">
        <w:rPr>
          <w:rFonts w:ascii="Times New Roman" w:hAnsi="Times New Roman" w:cs="Times New Roman"/>
          <w:sz w:val="24"/>
          <w:szCs w:val="24"/>
        </w:rPr>
        <w:t xml:space="preserve">CBA should require the Employer to refer to employees by their preferred name and </w:t>
      </w:r>
      <w:r>
        <w:rPr>
          <w:rFonts w:ascii="Times New Roman" w:hAnsi="Times New Roman" w:cs="Times New Roman"/>
          <w:sz w:val="24"/>
          <w:szCs w:val="24"/>
        </w:rPr>
        <w:t xml:space="preserve">gender </w:t>
      </w:r>
      <w:r w:rsidRPr="002C686E">
        <w:rPr>
          <w:rFonts w:ascii="Times New Roman" w:hAnsi="Times New Roman" w:cs="Times New Roman"/>
          <w:sz w:val="24"/>
          <w:szCs w:val="24"/>
        </w:rPr>
        <w:t>pronoun</w:t>
      </w:r>
      <w:r>
        <w:rPr>
          <w:rFonts w:ascii="Times New Roman" w:hAnsi="Times New Roman" w:cs="Times New Roman"/>
          <w:sz w:val="24"/>
          <w:szCs w:val="24"/>
        </w:rPr>
        <w:t>s</w:t>
      </w:r>
      <w:r w:rsidRPr="002C686E">
        <w:rPr>
          <w:rFonts w:ascii="Times New Roman" w:hAnsi="Times New Roman" w:cs="Times New Roman"/>
          <w:sz w:val="24"/>
          <w:szCs w:val="24"/>
        </w:rPr>
        <w:t xml:space="preserve"> in all communications, except to the extent the Employer is required to use an employee’s legal name and </w:t>
      </w:r>
      <w:r>
        <w:rPr>
          <w:rFonts w:ascii="Times New Roman" w:hAnsi="Times New Roman" w:cs="Times New Roman"/>
          <w:sz w:val="24"/>
          <w:szCs w:val="24"/>
        </w:rPr>
        <w:t>gender</w:t>
      </w:r>
      <w:r w:rsidRPr="002C686E">
        <w:rPr>
          <w:rFonts w:ascii="Times New Roman" w:hAnsi="Times New Roman" w:cs="Times New Roman"/>
          <w:sz w:val="24"/>
          <w:szCs w:val="24"/>
        </w:rPr>
        <w:t xml:space="preserve"> on official documents.  </w:t>
      </w:r>
    </w:p>
    <w:p w14:paraId="65BBFE35" w14:textId="77777777" w:rsidR="004C0B5C" w:rsidRPr="002C686E" w:rsidRDefault="004C0B5C" w:rsidP="004C0B5C">
      <w:pPr>
        <w:pStyle w:val="ListParagraph"/>
        <w:numPr>
          <w:ilvl w:val="0"/>
          <w:numId w:val="3"/>
        </w:numPr>
        <w:spacing w:after="240" w:line="259" w:lineRule="auto"/>
        <w:jc w:val="both"/>
        <w:rPr>
          <w:rFonts w:ascii="Times New Roman" w:hAnsi="Times New Roman" w:cs="Times New Roman"/>
          <w:sz w:val="24"/>
          <w:szCs w:val="24"/>
        </w:rPr>
      </w:pPr>
      <w:r w:rsidRPr="002C686E">
        <w:rPr>
          <w:rFonts w:ascii="Times New Roman" w:hAnsi="Times New Roman" w:cs="Times New Roman"/>
          <w:sz w:val="24"/>
          <w:szCs w:val="24"/>
        </w:rPr>
        <w:t>CBA should require the Employer to update an employee’s legal name and gender if the employee changes either. The Employer must also work with venders and benefit plan administrators to update the employee’s legal name and gender.</w:t>
      </w:r>
    </w:p>
    <w:p w14:paraId="78143402" w14:textId="77777777" w:rsidR="004C0B5C" w:rsidRPr="002C686E" w:rsidRDefault="004C0B5C" w:rsidP="004C0B5C">
      <w:pPr>
        <w:jc w:val="both"/>
        <w:rPr>
          <w:b/>
          <w:bCs/>
          <w:szCs w:val="24"/>
        </w:rPr>
      </w:pPr>
      <w:r w:rsidRPr="002C686E">
        <w:rPr>
          <w:b/>
          <w:bCs/>
          <w:szCs w:val="24"/>
        </w:rPr>
        <w:t>Health Care Protections</w:t>
      </w:r>
    </w:p>
    <w:p w14:paraId="3A1C1B20" w14:textId="7A3B3EEB" w:rsidR="004C0B5C" w:rsidRPr="002C686E" w:rsidRDefault="004C0B5C" w:rsidP="004C0B5C">
      <w:pPr>
        <w:pStyle w:val="ListParagraph"/>
        <w:numPr>
          <w:ilvl w:val="0"/>
          <w:numId w:val="5"/>
        </w:numPr>
        <w:spacing w:after="160" w:line="259" w:lineRule="auto"/>
        <w:jc w:val="both"/>
        <w:rPr>
          <w:rFonts w:ascii="Times New Roman" w:hAnsi="Times New Roman" w:cs="Times New Roman"/>
          <w:sz w:val="24"/>
          <w:szCs w:val="24"/>
        </w:rPr>
      </w:pPr>
      <w:r w:rsidRPr="002C686E">
        <w:rPr>
          <w:rFonts w:ascii="Times New Roman" w:hAnsi="Times New Roman" w:cs="Times New Roman"/>
          <w:sz w:val="24"/>
          <w:szCs w:val="24"/>
        </w:rPr>
        <w:t>CBA should require health coverage for comprehensive sexual, reproductive, and gender affirming healthcare services, including gender affirming care</w:t>
      </w:r>
      <w:r>
        <w:rPr>
          <w:rFonts w:ascii="Times New Roman" w:hAnsi="Times New Roman" w:cs="Times New Roman"/>
          <w:sz w:val="24"/>
          <w:szCs w:val="24"/>
        </w:rPr>
        <w:t xml:space="preserve"> and contraceptives</w:t>
      </w:r>
      <w:r w:rsidRPr="002C686E">
        <w:rPr>
          <w:rFonts w:ascii="Times New Roman" w:hAnsi="Times New Roman" w:cs="Times New Roman"/>
          <w:sz w:val="24"/>
          <w:szCs w:val="24"/>
        </w:rPr>
        <w:t>.</w:t>
      </w:r>
    </w:p>
    <w:p w14:paraId="634971C4" w14:textId="4DE9ACB7" w:rsidR="004C0B5C" w:rsidRPr="002C686E" w:rsidRDefault="004C0B5C" w:rsidP="004C0B5C">
      <w:pPr>
        <w:pStyle w:val="ListParagraph"/>
        <w:numPr>
          <w:ilvl w:val="0"/>
          <w:numId w:val="5"/>
        </w:numPr>
        <w:spacing w:after="240" w:line="259" w:lineRule="auto"/>
        <w:jc w:val="both"/>
        <w:rPr>
          <w:rFonts w:ascii="Times New Roman" w:hAnsi="Times New Roman" w:cs="Times New Roman"/>
          <w:sz w:val="24"/>
          <w:szCs w:val="24"/>
        </w:rPr>
      </w:pPr>
      <w:r w:rsidRPr="002C686E">
        <w:rPr>
          <w:rFonts w:ascii="Times New Roman" w:hAnsi="Times New Roman" w:cs="Times New Roman"/>
          <w:sz w:val="24"/>
          <w:szCs w:val="24"/>
        </w:rPr>
        <w:t xml:space="preserve">CBA should require </w:t>
      </w:r>
      <w:r>
        <w:rPr>
          <w:rFonts w:ascii="Times New Roman" w:hAnsi="Times New Roman" w:cs="Times New Roman"/>
          <w:sz w:val="24"/>
          <w:szCs w:val="24"/>
        </w:rPr>
        <w:t xml:space="preserve">that if any laws are passed that prohibit the Employer from covering these services as core health plan services, </w:t>
      </w:r>
      <w:r w:rsidRPr="002C686E">
        <w:rPr>
          <w:rFonts w:ascii="Times New Roman" w:hAnsi="Times New Roman" w:cs="Times New Roman"/>
          <w:sz w:val="24"/>
          <w:szCs w:val="24"/>
        </w:rPr>
        <w:t xml:space="preserve">the Employer </w:t>
      </w:r>
      <w:r>
        <w:rPr>
          <w:rFonts w:ascii="Times New Roman" w:hAnsi="Times New Roman" w:cs="Times New Roman"/>
          <w:sz w:val="24"/>
          <w:szCs w:val="24"/>
        </w:rPr>
        <w:t>must</w:t>
      </w:r>
      <w:r w:rsidRPr="002C686E">
        <w:rPr>
          <w:rFonts w:ascii="Times New Roman" w:hAnsi="Times New Roman" w:cs="Times New Roman"/>
          <w:sz w:val="24"/>
          <w:szCs w:val="24"/>
        </w:rPr>
        <w:t xml:space="preserve"> take reasonable steps to ensure members can access that coverage to the extent permitted </w:t>
      </w:r>
      <w:r>
        <w:rPr>
          <w:rFonts w:ascii="Times New Roman" w:hAnsi="Times New Roman" w:cs="Times New Roman"/>
          <w:sz w:val="24"/>
          <w:szCs w:val="24"/>
        </w:rPr>
        <w:t>by</w:t>
      </w:r>
      <w:r w:rsidRPr="002C686E">
        <w:rPr>
          <w:rFonts w:ascii="Times New Roman" w:hAnsi="Times New Roman" w:cs="Times New Roman"/>
          <w:sz w:val="24"/>
          <w:szCs w:val="24"/>
        </w:rPr>
        <w:t xml:space="preserve"> law, such as through </w:t>
      </w:r>
      <w:r w:rsidRPr="002C686E">
        <w:rPr>
          <w:rFonts w:ascii="Times New Roman" w:hAnsi="Times New Roman" w:cs="Times New Roman"/>
          <w:sz w:val="24"/>
          <w:szCs w:val="24"/>
        </w:rPr>
        <w:lastRenderedPageBreak/>
        <w:t xml:space="preserve">establishing a fund </w:t>
      </w:r>
      <w:r>
        <w:rPr>
          <w:rFonts w:ascii="Times New Roman" w:hAnsi="Times New Roman" w:cs="Times New Roman"/>
          <w:sz w:val="24"/>
          <w:szCs w:val="24"/>
        </w:rPr>
        <w:t>with</w:t>
      </w:r>
      <w:r w:rsidRPr="002C686E">
        <w:rPr>
          <w:rFonts w:ascii="Times New Roman" w:hAnsi="Times New Roman" w:cs="Times New Roman"/>
          <w:sz w:val="24"/>
          <w:szCs w:val="24"/>
        </w:rPr>
        <w:t xml:space="preserve"> the Employer’s healthcare administrator to provide for self-funded payment of such benefits</w:t>
      </w:r>
      <w:r>
        <w:rPr>
          <w:rFonts w:ascii="Times New Roman" w:hAnsi="Times New Roman" w:cs="Times New Roman"/>
          <w:sz w:val="24"/>
          <w:szCs w:val="24"/>
        </w:rPr>
        <w:t>,</w:t>
      </w:r>
      <w:r w:rsidRPr="002C686E">
        <w:rPr>
          <w:rFonts w:ascii="Times New Roman" w:hAnsi="Times New Roman" w:cs="Times New Roman"/>
          <w:sz w:val="24"/>
          <w:szCs w:val="24"/>
        </w:rPr>
        <w:t xml:space="preserve"> including any travel expenses needed to access them.</w:t>
      </w:r>
    </w:p>
    <w:p w14:paraId="139E4F90" w14:textId="77777777" w:rsidR="004C0B5C" w:rsidRDefault="004C0B5C" w:rsidP="004C0B5C">
      <w:pPr>
        <w:jc w:val="both"/>
        <w:rPr>
          <w:b/>
          <w:bCs/>
          <w:szCs w:val="24"/>
        </w:rPr>
      </w:pPr>
    </w:p>
    <w:p w14:paraId="40E9FB91" w14:textId="77777777" w:rsidR="004C0B5C" w:rsidRPr="002C686E" w:rsidRDefault="004C0B5C" w:rsidP="004C0B5C">
      <w:pPr>
        <w:jc w:val="both"/>
        <w:rPr>
          <w:b/>
          <w:bCs/>
          <w:szCs w:val="24"/>
        </w:rPr>
      </w:pPr>
      <w:r w:rsidRPr="002C686E">
        <w:rPr>
          <w:b/>
          <w:bCs/>
          <w:szCs w:val="24"/>
        </w:rPr>
        <w:t>Equal Access to Family and Bereavement Leave</w:t>
      </w:r>
    </w:p>
    <w:p w14:paraId="6B64C28A" w14:textId="77777777" w:rsidR="004C0B5C" w:rsidRPr="002C686E" w:rsidRDefault="004C0B5C" w:rsidP="004C0B5C">
      <w:pPr>
        <w:pStyle w:val="ListParagraph"/>
        <w:numPr>
          <w:ilvl w:val="0"/>
          <w:numId w:val="4"/>
        </w:numPr>
        <w:spacing w:after="160" w:line="259" w:lineRule="auto"/>
        <w:jc w:val="both"/>
        <w:rPr>
          <w:rFonts w:ascii="Times New Roman" w:hAnsi="Times New Roman" w:cs="Times New Roman"/>
          <w:sz w:val="24"/>
          <w:szCs w:val="24"/>
        </w:rPr>
      </w:pPr>
      <w:r w:rsidRPr="002C686E">
        <w:rPr>
          <w:rFonts w:ascii="Times New Roman" w:hAnsi="Times New Roman" w:cs="Times New Roman"/>
          <w:sz w:val="24"/>
          <w:szCs w:val="24"/>
        </w:rPr>
        <w:t xml:space="preserve">CBA should expand the group of family members for which family leave (paid </w:t>
      </w:r>
      <w:r>
        <w:rPr>
          <w:rFonts w:ascii="Times New Roman" w:hAnsi="Times New Roman" w:cs="Times New Roman"/>
          <w:sz w:val="24"/>
          <w:szCs w:val="24"/>
        </w:rPr>
        <w:t>and</w:t>
      </w:r>
      <w:r w:rsidRPr="002C686E">
        <w:rPr>
          <w:rFonts w:ascii="Times New Roman" w:hAnsi="Times New Roman" w:cs="Times New Roman"/>
          <w:sz w:val="24"/>
          <w:szCs w:val="24"/>
        </w:rPr>
        <w:t xml:space="preserve"> unpaid) and bereavement leave can be taken to</w:t>
      </w:r>
      <w:r>
        <w:rPr>
          <w:rFonts w:ascii="Times New Roman" w:hAnsi="Times New Roman" w:cs="Times New Roman"/>
          <w:sz w:val="24"/>
          <w:szCs w:val="24"/>
        </w:rPr>
        <w:t xml:space="preserve"> include, in addition to children, spouse and parents:</w:t>
      </w:r>
    </w:p>
    <w:p w14:paraId="1388124F" w14:textId="77777777" w:rsidR="004C0B5C" w:rsidRPr="002C686E" w:rsidRDefault="004C0B5C" w:rsidP="004C0B5C">
      <w:pPr>
        <w:pStyle w:val="ListParagraph"/>
        <w:numPr>
          <w:ilvl w:val="1"/>
          <w:numId w:val="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Parents </w:t>
      </w:r>
      <w:proofErr w:type="gramStart"/>
      <w:r w:rsidRPr="002C686E">
        <w:rPr>
          <w:rFonts w:ascii="Times New Roman" w:hAnsi="Times New Roman" w:cs="Times New Roman"/>
          <w:sz w:val="24"/>
          <w:szCs w:val="24"/>
        </w:rPr>
        <w:t>in-laws;</w:t>
      </w:r>
      <w:proofErr w:type="gramEnd"/>
    </w:p>
    <w:p w14:paraId="66332302" w14:textId="77777777" w:rsidR="004C0B5C" w:rsidRPr="002C686E" w:rsidRDefault="004C0B5C" w:rsidP="004C0B5C">
      <w:pPr>
        <w:pStyle w:val="ListParagraph"/>
        <w:numPr>
          <w:ilvl w:val="1"/>
          <w:numId w:val="4"/>
        </w:numPr>
        <w:spacing w:after="160" w:line="259" w:lineRule="auto"/>
        <w:jc w:val="both"/>
        <w:rPr>
          <w:rFonts w:ascii="Times New Roman" w:hAnsi="Times New Roman" w:cs="Times New Roman"/>
          <w:sz w:val="24"/>
          <w:szCs w:val="24"/>
        </w:rPr>
      </w:pPr>
      <w:proofErr w:type="gramStart"/>
      <w:r>
        <w:rPr>
          <w:rFonts w:ascii="Times New Roman" w:hAnsi="Times New Roman" w:cs="Times New Roman"/>
          <w:sz w:val="24"/>
          <w:szCs w:val="24"/>
        </w:rPr>
        <w:t>S</w:t>
      </w:r>
      <w:r w:rsidRPr="002C686E">
        <w:rPr>
          <w:rFonts w:ascii="Times New Roman" w:hAnsi="Times New Roman" w:cs="Times New Roman"/>
          <w:sz w:val="24"/>
          <w:szCs w:val="24"/>
        </w:rPr>
        <w:t>tepchildren;</w:t>
      </w:r>
      <w:proofErr w:type="gramEnd"/>
    </w:p>
    <w:p w14:paraId="52D2FA6A" w14:textId="1893BF53" w:rsidR="004C0B5C" w:rsidRPr="002C686E" w:rsidRDefault="004C0B5C" w:rsidP="004C0B5C">
      <w:pPr>
        <w:pStyle w:val="ListParagraph"/>
        <w:numPr>
          <w:ilvl w:val="1"/>
          <w:numId w:val="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G</w:t>
      </w:r>
      <w:r w:rsidRPr="002C686E">
        <w:rPr>
          <w:rFonts w:ascii="Times New Roman" w:hAnsi="Times New Roman" w:cs="Times New Roman"/>
          <w:sz w:val="24"/>
          <w:szCs w:val="24"/>
        </w:rPr>
        <w:t xml:space="preserve">randparents and </w:t>
      </w:r>
      <w:proofErr w:type="gramStart"/>
      <w:r w:rsidRPr="002C686E">
        <w:rPr>
          <w:rFonts w:ascii="Times New Roman" w:hAnsi="Times New Roman" w:cs="Times New Roman"/>
          <w:sz w:val="24"/>
          <w:szCs w:val="24"/>
        </w:rPr>
        <w:t>grandchildren;</w:t>
      </w:r>
      <w:proofErr w:type="gramEnd"/>
    </w:p>
    <w:p w14:paraId="02DD8390" w14:textId="771F9AA2" w:rsidR="004C0B5C" w:rsidRPr="002C686E" w:rsidRDefault="004C0B5C" w:rsidP="004C0B5C">
      <w:pPr>
        <w:pStyle w:val="ListParagraph"/>
        <w:numPr>
          <w:ilvl w:val="1"/>
          <w:numId w:val="4"/>
        </w:numPr>
        <w:spacing w:after="160" w:line="259" w:lineRule="auto"/>
        <w:jc w:val="both"/>
        <w:rPr>
          <w:rFonts w:ascii="Times New Roman" w:hAnsi="Times New Roman" w:cs="Times New Roman"/>
          <w:sz w:val="24"/>
          <w:szCs w:val="24"/>
        </w:rPr>
      </w:pPr>
      <w:proofErr w:type="gramStart"/>
      <w:r>
        <w:rPr>
          <w:rFonts w:ascii="Times New Roman" w:hAnsi="Times New Roman" w:cs="Times New Roman"/>
          <w:sz w:val="24"/>
          <w:szCs w:val="24"/>
        </w:rPr>
        <w:t>S</w:t>
      </w:r>
      <w:r w:rsidRPr="002C686E">
        <w:rPr>
          <w:rFonts w:ascii="Times New Roman" w:hAnsi="Times New Roman" w:cs="Times New Roman"/>
          <w:sz w:val="24"/>
          <w:szCs w:val="24"/>
        </w:rPr>
        <w:t>iblings;</w:t>
      </w:r>
      <w:proofErr w:type="gramEnd"/>
    </w:p>
    <w:p w14:paraId="070CD0A1" w14:textId="77777777" w:rsidR="004C0B5C" w:rsidRPr="002C686E" w:rsidRDefault="004C0B5C" w:rsidP="004C0B5C">
      <w:pPr>
        <w:pStyle w:val="ListParagraph"/>
        <w:numPr>
          <w:ilvl w:val="1"/>
          <w:numId w:val="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U</w:t>
      </w:r>
      <w:r w:rsidRPr="002C686E">
        <w:rPr>
          <w:rFonts w:ascii="Times New Roman" w:hAnsi="Times New Roman" w:cs="Times New Roman"/>
          <w:sz w:val="24"/>
          <w:szCs w:val="24"/>
        </w:rPr>
        <w:t xml:space="preserve">ncles and </w:t>
      </w:r>
      <w:proofErr w:type="gramStart"/>
      <w:r w:rsidRPr="002C686E">
        <w:rPr>
          <w:rFonts w:ascii="Times New Roman" w:hAnsi="Times New Roman" w:cs="Times New Roman"/>
          <w:sz w:val="24"/>
          <w:szCs w:val="24"/>
        </w:rPr>
        <w:t>aunts;</w:t>
      </w:r>
      <w:proofErr w:type="gramEnd"/>
    </w:p>
    <w:p w14:paraId="11AC7581" w14:textId="127C1DA2" w:rsidR="004C0B5C" w:rsidRPr="002C686E" w:rsidRDefault="004C0B5C" w:rsidP="004C0B5C">
      <w:pPr>
        <w:pStyle w:val="ListParagraph"/>
        <w:numPr>
          <w:ilvl w:val="1"/>
          <w:numId w:val="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D</w:t>
      </w:r>
      <w:r w:rsidRPr="002C686E">
        <w:rPr>
          <w:rFonts w:ascii="Times New Roman" w:hAnsi="Times New Roman" w:cs="Times New Roman"/>
          <w:sz w:val="24"/>
          <w:szCs w:val="24"/>
        </w:rPr>
        <w:t xml:space="preserve">omestic </w:t>
      </w:r>
      <w:proofErr w:type="gramStart"/>
      <w:r w:rsidRPr="002C686E">
        <w:rPr>
          <w:rFonts w:ascii="Times New Roman" w:hAnsi="Times New Roman" w:cs="Times New Roman"/>
          <w:sz w:val="24"/>
          <w:szCs w:val="24"/>
        </w:rPr>
        <w:t>partners;</w:t>
      </w:r>
      <w:proofErr w:type="gramEnd"/>
    </w:p>
    <w:p w14:paraId="20248523" w14:textId="3E898F2B" w:rsidR="004C0B5C" w:rsidRPr="002C686E" w:rsidRDefault="004C0B5C" w:rsidP="004C0B5C">
      <w:pPr>
        <w:pStyle w:val="ListParagraph"/>
        <w:numPr>
          <w:ilvl w:val="1"/>
          <w:numId w:val="4"/>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A</w:t>
      </w:r>
      <w:r w:rsidRPr="002C686E">
        <w:rPr>
          <w:rFonts w:ascii="Times New Roman" w:hAnsi="Times New Roman" w:cs="Times New Roman"/>
          <w:sz w:val="24"/>
          <w:szCs w:val="24"/>
        </w:rPr>
        <w:t>ny minor children or incapacitated individuals for whom the employee has a primary responsibility or legal guardianship or conservatorship; and</w:t>
      </w:r>
    </w:p>
    <w:p w14:paraId="34144B8C" w14:textId="3E462AC1" w:rsidR="004C0B5C" w:rsidRPr="002C686E" w:rsidRDefault="004C0B5C" w:rsidP="004C0B5C">
      <w:pPr>
        <w:pStyle w:val="ListParagraph"/>
        <w:numPr>
          <w:ilvl w:val="1"/>
          <w:numId w:val="4"/>
        </w:numPr>
        <w:spacing w:after="240" w:line="259" w:lineRule="auto"/>
        <w:jc w:val="both"/>
        <w:rPr>
          <w:rFonts w:ascii="Times New Roman" w:hAnsi="Times New Roman" w:cs="Times New Roman"/>
          <w:sz w:val="24"/>
          <w:szCs w:val="24"/>
        </w:rPr>
      </w:pPr>
      <w:r>
        <w:rPr>
          <w:rFonts w:ascii="Times New Roman" w:hAnsi="Times New Roman" w:cs="Times New Roman"/>
          <w:sz w:val="24"/>
          <w:szCs w:val="24"/>
        </w:rPr>
        <w:t>P</w:t>
      </w:r>
      <w:r w:rsidRPr="002C686E">
        <w:rPr>
          <w:rFonts w:ascii="Times New Roman" w:hAnsi="Times New Roman" w:cs="Times New Roman"/>
          <w:sz w:val="24"/>
          <w:szCs w:val="24"/>
        </w:rPr>
        <w:t xml:space="preserve">artners or other </w:t>
      </w:r>
      <w:proofErr w:type="gramStart"/>
      <w:r w:rsidRPr="002C686E">
        <w:rPr>
          <w:rFonts w:ascii="Times New Roman" w:hAnsi="Times New Roman" w:cs="Times New Roman"/>
          <w:sz w:val="24"/>
          <w:szCs w:val="24"/>
        </w:rPr>
        <w:t>persons</w:t>
      </w:r>
      <w:proofErr w:type="gramEnd"/>
      <w:r w:rsidRPr="002C686E">
        <w:rPr>
          <w:rFonts w:ascii="Times New Roman" w:hAnsi="Times New Roman" w:cs="Times New Roman"/>
          <w:sz w:val="24"/>
          <w:szCs w:val="24"/>
        </w:rPr>
        <w:t xml:space="preserve"> living in the immediate household of the employee.</w:t>
      </w:r>
    </w:p>
    <w:p w14:paraId="09A3020E" w14:textId="34CBEC47" w:rsidR="004C0B5C" w:rsidRPr="002C686E" w:rsidRDefault="004C0B5C" w:rsidP="004C0B5C">
      <w:pPr>
        <w:jc w:val="both"/>
        <w:rPr>
          <w:b/>
          <w:bCs/>
          <w:szCs w:val="24"/>
        </w:rPr>
      </w:pPr>
      <w:r w:rsidRPr="002C686E">
        <w:rPr>
          <w:b/>
          <w:bCs/>
          <w:szCs w:val="24"/>
        </w:rPr>
        <w:t>Parental Leave</w:t>
      </w:r>
    </w:p>
    <w:p w14:paraId="4D929A28" w14:textId="0E343E95" w:rsidR="004C0B5C" w:rsidRPr="002C686E" w:rsidRDefault="004C0B5C" w:rsidP="004C0B5C">
      <w:pPr>
        <w:pStyle w:val="ListParagraph"/>
        <w:numPr>
          <w:ilvl w:val="0"/>
          <w:numId w:val="4"/>
        </w:numPr>
        <w:spacing w:after="160" w:line="259" w:lineRule="auto"/>
        <w:jc w:val="both"/>
        <w:rPr>
          <w:rFonts w:ascii="Times New Roman" w:hAnsi="Times New Roman" w:cs="Times New Roman"/>
          <w:sz w:val="24"/>
          <w:szCs w:val="24"/>
        </w:rPr>
      </w:pPr>
      <w:r w:rsidRPr="002C686E">
        <w:rPr>
          <w:rFonts w:ascii="Times New Roman" w:hAnsi="Times New Roman" w:cs="Times New Roman"/>
          <w:sz w:val="24"/>
          <w:szCs w:val="24"/>
        </w:rPr>
        <w:t xml:space="preserve">CBA should provide </w:t>
      </w:r>
      <w:r>
        <w:rPr>
          <w:rFonts w:ascii="Times New Roman" w:hAnsi="Times New Roman" w:cs="Times New Roman"/>
          <w:sz w:val="24"/>
          <w:szCs w:val="24"/>
        </w:rPr>
        <w:t>generous</w:t>
      </w:r>
      <w:r w:rsidRPr="002C686E">
        <w:rPr>
          <w:rFonts w:ascii="Times New Roman" w:hAnsi="Times New Roman" w:cs="Times New Roman"/>
          <w:sz w:val="24"/>
          <w:szCs w:val="24"/>
        </w:rPr>
        <w:t xml:space="preserve"> parental leave </w:t>
      </w:r>
      <w:r>
        <w:rPr>
          <w:rFonts w:ascii="Times New Roman" w:hAnsi="Times New Roman" w:cs="Times New Roman"/>
          <w:sz w:val="24"/>
          <w:szCs w:val="24"/>
        </w:rPr>
        <w:t>to parents of any</w:t>
      </w:r>
      <w:r w:rsidRPr="002C686E">
        <w:rPr>
          <w:rFonts w:ascii="Times New Roman" w:hAnsi="Times New Roman" w:cs="Times New Roman"/>
          <w:sz w:val="24"/>
          <w:szCs w:val="24"/>
        </w:rPr>
        <w:t xml:space="preserve"> gender.</w:t>
      </w:r>
    </w:p>
    <w:p w14:paraId="0C30C22B" w14:textId="055184FE" w:rsidR="004C0B5C" w:rsidRPr="002C686E" w:rsidRDefault="004C0B5C" w:rsidP="004C0B5C">
      <w:pPr>
        <w:pStyle w:val="ListParagraph"/>
        <w:numPr>
          <w:ilvl w:val="0"/>
          <w:numId w:val="4"/>
        </w:numPr>
        <w:spacing w:after="240" w:line="259" w:lineRule="auto"/>
        <w:jc w:val="both"/>
        <w:rPr>
          <w:rFonts w:ascii="Times New Roman" w:hAnsi="Times New Roman" w:cs="Times New Roman"/>
          <w:sz w:val="24"/>
          <w:szCs w:val="24"/>
        </w:rPr>
      </w:pPr>
      <w:r w:rsidRPr="002C686E">
        <w:rPr>
          <w:rFonts w:ascii="Times New Roman" w:hAnsi="Times New Roman" w:cs="Times New Roman"/>
          <w:sz w:val="24"/>
          <w:szCs w:val="24"/>
        </w:rPr>
        <w:t>CBA should ensure that parental leave is available to all new parents, without discriminating based on the type of parenthood, including adoption, surrogacy, and circumstances where only one parent is a biological parent to the child.</w:t>
      </w:r>
    </w:p>
    <w:p w14:paraId="4595AE4F" w14:textId="77777777" w:rsidR="004C0B5C" w:rsidRPr="002C686E" w:rsidRDefault="004C0B5C" w:rsidP="004C0B5C">
      <w:pPr>
        <w:jc w:val="both"/>
        <w:rPr>
          <w:b/>
          <w:bCs/>
          <w:szCs w:val="24"/>
        </w:rPr>
      </w:pPr>
      <w:r w:rsidRPr="002C686E">
        <w:rPr>
          <w:b/>
          <w:bCs/>
          <w:szCs w:val="24"/>
        </w:rPr>
        <w:t>Impact Bargaining</w:t>
      </w:r>
    </w:p>
    <w:p w14:paraId="1A4CD981" w14:textId="2367B3DB" w:rsidR="004C0B5C" w:rsidRPr="002C686E" w:rsidRDefault="004C0B5C" w:rsidP="004C0B5C">
      <w:pPr>
        <w:pStyle w:val="ListParagraph"/>
        <w:numPr>
          <w:ilvl w:val="0"/>
          <w:numId w:val="6"/>
        </w:numPr>
        <w:spacing w:after="240" w:line="259" w:lineRule="auto"/>
        <w:jc w:val="both"/>
        <w:rPr>
          <w:rFonts w:ascii="Times New Roman" w:hAnsi="Times New Roman" w:cs="Times New Roman"/>
          <w:sz w:val="24"/>
          <w:szCs w:val="24"/>
        </w:rPr>
      </w:pPr>
      <w:r w:rsidRPr="002C686E">
        <w:rPr>
          <w:rFonts w:ascii="Times New Roman" w:hAnsi="Times New Roman" w:cs="Times New Roman"/>
          <w:sz w:val="24"/>
          <w:szCs w:val="24"/>
        </w:rPr>
        <w:t>CBA should require that if there is a change in federal, state, or local law that meaningfully reduces employees’ rights under the law, the parties will meet at the Union’s request to bargain over the impact of that change.</w:t>
      </w:r>
    </w:p>
    <w:p w14:paraId="1140E44F" w14:textId="77777777" w:rsidR="004C0B5C" w:rsidRPr="002C686E" w:rsidRDefault="004C0B5C" w:rsidP="004C0B5C">
      <w:pPr>
        <w:jc w:val="both"/>
        <w:rPr>
          <w:b/>
          <w:bCs/>
          <w:szCs w:val="24"/>
        </w:rPr>
      </w:pPr>
      <w:r w:rsidRPr="002C686E">
        <w:rPr>
          <w:b/>
          <w:bCs/>
          <w:szCs w:val="24"/>
        </w:rPr>
        <w:t>Gender Neutral CBA Language</w:t>
      </w:r>
    </w:p>
    <w:p w14:paraId="01837841" w14:textId="5C6B9925" w:rsidR="004C0B5C" w:rsidRPr="002C686E" w:rsidRDefault="004C0B5C" w:rsidP="004C0B5C">
      <w:pPr>
        <w:pStyle w:val="ListParagraph"/>
        <w:numPr>
          <w:ilvl w:val="0"/>
          <w:numId w:val="6"/>
        </w:numPr>
        <w:spacing w:after="240" w:line="259" w:lineRule="auto"/>
        <w:jc w:val="both"/>
        <w:rPr>
          <w:rFonts w:ascii="Times New Roman" w:hAnsi="Times New Roman" w:cs="Times New Roman"/>
          <w:sz w:val="24"/>
          <w:szCs w:val="24"/>
        </w:rPr>
      </w:pPr>
      <w:r w:rsidRPr="002C686E">
        <w:rPr>
          <w:rFonts w:ascii="Times New Roman" w:hAnsi="Times New Roman" w:cs="Times New Roman"/>
          <w:sz w:val="24"/>
          <w:szCs w:val="24"/>
        </w:rPr>
        <w:t>CBA should use gender-neutral language.</w:t>
      </w:r>
    </w:p>
    <w:p w14:paraId="2BA90904" w14:textId="77777777" w:rsidR="004C0B5C" w:rsidRPr="002C686E" w:rsidRDefault="004C0B5C" w:rsidP="004C0B5C">
      <w:pPr>
        <w:jc w:val="both"/>
        <w:rPr>
          <w:b/>
          <w:bCs/>
          <w:szCs w:val="24"/>
        </w:rPr>
      </w:pPr>
      <w:r w:rsidRPr="002C686E">
        <w:rPr>
          <w:b/>
          <w:bCs/>
          <w:szCs w:val="24"/>
        </w:rPr>
        <w:t>Severability</w:t>
      </w:r>
    </w:p>
    <w:p w14:paraId="0ECBA929" w14:textId="26DF1050" w:rsidR="004C0B5C" w:rsidRPr="002C686E" w:rsidRDefault="004C0B5C" w:rsidP="004C0B5C">
      <w:pPr>
        <w:pStyle w:val="ListParagraph"/>
        <w:numPr>
          <w:ilvl w:val="0"/>
          <w:numId w:val="6"/>
        </w:numPr>
        <w:spacing w:after="240" w:line="259" w:lineRule="auto"/>
        <w:jc w:val="both"/>
        <w:rPr>
          <w:rFonts w:ascii="Times New Roman" w:hAnsi="Times New Roman" w:cs="Times New Roman"/>
          <w:sz w:val="24"/>
          <w:szCs w:val="24"/>
        </w:rPr>
      </w:pPr>
      <w:r w:rsidRPr="002C686E">
        <w:rPr>
          <w:rFonts w:ascii="Times New Roman" w:hAnsi="Times New Roman" w:cs="Times New Roman"/>
          <w:sz w:val="24"/>
          <w:szCs w:val="24"/>
        </w:rPr>
        <w:t>CBA should contain a severability clause requiring that if any provision of the CBA is adjudicated illegal or in violation of any law, the remainder of the CBA continues in full force and effect and the parties must meet to bargain over a replacement provision for the invalidated clause to substitute a new provision that meets the parties’ original intent as closely as possible.</w:t>
      </w:r>
    </w:p>
    <w:sectPr w:rsidR="004C0B5C" w:rsidRPr="002C686E" w:rsidSect="00037394">
      <w:headerReference w:type="even" r:id="rId9"/>
      <w:footerReference w:type="default" r:id="rId10"/>
      <w:headerReference w:type="first" r:id="rId11"/>
      <w:footerReference w:type="first" r:id="rId12"/>
      <w:footnotePr>
        <w:numFmt w:val="lowerLetter"/>
      </w:footnotePr>
      <w:endnotePr>
        <w:numFmt w:val="lowerLetter"/>
      </w:endnotePr>
      <w:pgSz w:w="12240" w:h="15840"/>
      <w:pgMar w:top="1440" w:right="1440" w:bottom="576" w:left="1440" w:header="0" w:footer="115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492C8" w14:textId="77777777" w:rsidR="003A6A9D" w:rsidRDefault="003A6A9D">
      <w:r>
        <w:separator/>
      </w:r>
    </w:p>
  </w:endnote>
  <w:endnote w:type="continuationSeparator" w:id="0">
    <w:p w14:paraId="411A85CB" w14:textId="77777777" w:rsidR="003A6A9D" w:rsidRDefault="003A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0EC9" w14:textId="07A3F020" w:rsidR="000F46E8" w:rsidRPr="004C0B5C" w:rsidRDefault="004C0B5C">
    <w:pPr>
      <w:spacing w:line="0" w:lineRule="atLeast"/>
      <w:rPr>
        <w:sz w:val="20"/>
        <w:szCs w:val="16"/>
      </w:rPr>
    </w:pPr>
    <w:r w:rsidRPr="004C0B5C">
      <w:rPr>
        <w:sz w:val="20"/>
        <w:szCs w:val="16"/>
      </w:rPr>
      <w:t>Issued June 1,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65A5" w14:textId="0F917023" w:rsidR="0041593A" w:rsidRPr="0041593A" w:rsidRDefault="004C0B5C" w:rsidP="0041593A">
    <w:pPr>
      <w:pStyle w:val="Footer"/>
    </w:pPr>
    <w:r w:rsidRPr="004C0B5C">
      <w:rPr>
        <w:sz w:val="20"/>
        <w:szCs w:val="16"/>
      </w:rPr>
      <w:t>Issued June 1, 2023</w:t>
    </w:r>
    <w:r w:rsidR="0041593A">
      <w:rPr>
        <w:noProof/>
      </w:rPr>
      <w:drawing>
        <wp:anchor distT="0" distB="0" distL="114300" distR="114300" simplePos="0" relativeHeight="251658240" behindDoc="0" locked="0" layoutInCell="1" allowOverlap="1" wp14:anchorId="2B3B4C57" wp14:editId="4ECB66C3">
          <wp:simplePos x="0" y="0"/>
          <wp:positionH relativeFrom="page">
            <wp:align>right</wp:align>
          </wp:positionH>
          <wp:positionV relativeFrom="paragraph">
            <wp:posOffset>182732</wp:posOffset>
          </wp:positionV>
          <wp:extent cx="7816814" cy="804672"/>
          <wp:effectExtent l="0" t="0" r="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U_IPLetterheadFooter.png"/>
                  <pic:cNvPicPr/>
                </pic:nvPicPr>
                <pic:blipFill>
                  <a:blip r:embed="rId1">
                    <a:extLst>
                      <a:ext uri="{28A0092B-C50C-407E-A947-70E740481C1C}">
                        <a14:useLocalDpi xmlns:a14="http://schemas.microsoft.com/office/drawing/2010/main" val="0"/>
                      </a:ext>
                    </a:extLst>
                  </a:blip>
                  <a:stretch>
                    <a:fillRect/>
                  </a:stretch>
                </pic:blipFill>
                <pic:spPr>
                  <a:xfrm>
                    <a:off x="0" y="0"/>
                    <a:ext cx="7816814" cy="804672"/>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E8715" w14:textId="77777777" w:rsidR="003A6A9D" w:rsidRDefault="003A6A9D">
      <w:r>
        <w:separator/>
      </w:r>
    </w:p>
  </w:footnote>
  <w:footnote w:type="continuationSeparator" w:id="0">
    <w:p w14:paraId="0413AD76" w14:textId="77777777" w:rsidR="003A6A9D" w:rsidRDefault="003A6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6772" w14:textId="77777777" w:rsidR="00CA0658" w:rsidRDefault="00CA0658" w:rsidP="00CA0658">
    <w:r>
      <w:t>[Name or Matter]</w:t>
    </w:r>
  </w:p>
  <w:p w14:paraId="788063EA" w14:textId="77777777" w:rsidR="00CA0658" w:rsidRDefault="00CA0658" w:rsidP="00CA0658">
    <w:r>
      <w:t>[Date]</w:t>
    </w:r>
  </w:p>
  <w:p w14:paraId="70861099" w14:textId="77777777" w:rsidR="00CA0658" w:rsidRDefault="00CA0658" w:rsidP="00CA0658">
    <w:pPr>
      <w:rPr>
        <w:noProof/>
        <w:u w:val="single"/>
      </w:rPr>
    </w:pPr>
    <w:r>
      <w:rPr>
        <w:u w:val="single"/>
      </w:rPr>
      <w:t xml:space="preserve">Page </w:t>
    </w:r>
    <w:r>
      <w:rPr>
        <w:u w:val="single"/>
      </w:rPr>
      <w:fldChar w:fldCharType="begin"/>
    </w:r>
    <w:r>
      <w:rPr>
        <w:u w:val="single"/>
      </w:rPr>
      <w:instrText xml:space="preserve"> PAGE  \* Arabic  \* MERGEFORMAT </w:instrText>
    </w:r>
    <w:r>
      <w:rPr>
        <w:u w:val="single"/>
      </w:rPr>
      <w:fldChar w:fldCharType="separate"/>
    </w:r>
    <w:r w:rsidR="006A57AD">
      <w:rPr>
        <w:noProof/>
        <w:u w:val="single"/>
      </w:rPr>
      <w:t>2</w:t>
    </w:r>
    <w:r>
      <w:rPr>
        <w:u w:val="single"/>
      </w:rPr>
      <w:fldChar w:fldCharType="end"/>
    </w:r>
    <w:r>
      <w:rPr>
        <w:u w:val="single"/>
      </w:rPr>
      <w:t xml:space="preserve"> of </w:t>
    </w:r>
    <w:r>
      <w:rPr>
        <w:u w:val="single"/>
      </w:rPr>
      <w:fldChar w:fldCharType="begin"/>
    </w:r>
    <w:r>
      <w:rPr>
        <w:u w:val="single"/>
      </w:rPr>
      <w:instrText xml:space="preserve"> NUMPAGES  \* Arabic  \* MERGEFORMAT </w:instrText>
    </w:r>
    <w:r>
      <w:rPr>
        <w:u w:val="single"/>
      </w:rPr>
      <w:fldChar w:fldCharType="separate"/>
    </w:r>
    <w:r w:rsidR="006438E4">
      <w:rPr>
        <w:noProof/>
        <w:u w:val="single"/>
      </w:rPr>
      <w:t>1</w:t>
    </w:r>
    <w:r>
      <w:rPr>
        <w:noProof/>
        <w:u w:val="single"/>
      </w:rPr>
      <w:fldChar w:fldCharType="end"/>
    </w:r>
  </w:p>
  <w:p w14:paraId="6237C2E1" w14:textId="77777777" w:rsidR="000F46E8" w:rsidRPr="00CA0658" w:rsidRDefault="000F46E8" w:rsidP="00CA0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5A9A" w14:textId="18AA07C7" w:rsidR="00960C27" w:rsidRDefault="009551E8" w:rsidP="009551E8">
    <w:pPr>
      <w:pStyle w:val="Header"/>
      <w:tabs>
        <w:tab w:val="clear" w:pos="9360"/>
      </w:tabs>
      <w:ind w:left="-1440" w:right="-1440"/>
    </w:pPr>
    <w:r>
      <w:rPr>
        <w:noProof/>
      </w:rPr>
      <w:drawing>
        <wp:inline distT="0" distB="0" distL="0" distR="0" wp14:anchorId="4DF92CF1" wp14:editId="78B37867">
          <wp:extent cx="7735824" cy="2002536"/>
          <wp:effectExtent l="0" t="0" r="0" b="0"/>
          <wp:docPr id="1" name="Picture 1" descr="ATU_GenericMasthe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TU_GenericMasthea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5824" cy="20025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91D2D"/>
    <w:multiLevelType w:val="hybridMultilevel"/>
    <w:tmpl w:val="E6644800"/>
    <w:lvl w:ilvl="0" w:tplc="4A3A1B0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45532"/>
    <w:multiLevelType w:val="hybridMultilevel"/>
    <w:tmpl w:val="40E63746"/>
    <w:lvl w:ilvl="0" w:tplc="4A3A1B0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02BEA"/>
    <w:multiLevelType w:val="hybridMultilevel"/>
    <w:tmpl w:val="BD90CA0E"/>
    <w:lvl w:ilvl="0" w:tplc="4A3A1B0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6D2D5D"/>
    <w:multiLevelType w:val="hybridMultilevel"/>
    <w:tmpl w:val="15629C7A"/>
    <w:lvl w:ilvl="0" w:tplc="4A3A1B0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F35BEC"/>
    <w:multiLevelType w:val="hybridMultilevel"/>
    <w:tmpl w:val="515E0F7E"/>
    <w:lvl w:ilvl="0" w:tplc="4A3A1B08">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9C4B32"/>
    <w:multiLevelType w:val="hybridMultilevel"/>
    <w:tmpl w:val="AB58DDC4"/>
    <w:lvl w:ilvl="0" w:tplc="4A3A1B0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985540">
    <w:abstractNumId w:val="2"/>
  </w:num>
  <w:num w:numId="2" w16cid:durableId="153760515">
    <w:abstractNumId w:val="3"/>
  </w:num>
  <w:num w:numId="3" w16cid:durableId="753431431">
    <w:abstractNumId w:val="0"/>
  </w:num>
  <w:num w:numId="4" w16cid:durableId="1095438071">
    <w:abstractNumId w:val="4"/>
  </w:num>
  <w:num w:numId="5" w16cid:durableId="1390685280">
    <w:abstractNumId w:val="1"/>
  </w:num>
  <w:num w:numId="6" w16cid:durableId="531262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43"/>
    <w:rsid w:val="00002E7F"/>
    <w:rsid w:val="0002583E"/>
    <w:rsid w:val="00037394"/>
    <w:rsid w:val="000F302A"/>
    <w:rsid w:val="000F46E8"/>
    <w:rsid w:val="001276A5"/>
    <w:rsid w:val="00137C17"/>
    <w:rsid w:val="00171C91"/>
    <w:rsid w:val="0020004E"/>
    <w:rsid w:val="002552BC"/>
    <w:rsid w:val="00266E55"/>
    <w:rsid w:val="00285395"/>
    <w:rsid w:val="00287657"/>
    <w:rsid w:val="002A1EAC"/>
    <w:rsid w:val="002B7F5C"/>
    <w:rsid w:val="002D5A76"/>
    <w:rsid w:val="0031085E"/>
    <w:rsid w:val="00395A3C"/>
    <w:rsid w:val="0039712B"/>
    <w:rsid w:val="003A19FB"/>
    <w:rsid w:val="003A6A9D"/>
    <w:rsid w:val="003C6943"/>
    <w:rsid w:val="003E347F"/>
    <w:rsid w:val="0040494D"/>
    <w:rsid w:val="0041593A"/>
    <w:rsid w:val="00453077"/>
    <w:rsid w:val="004715B4"/>
    <w:rsid w:val="0049293A"/>
    <w:rsid w:val="004A30EE"/>
    <w:rsid w:val="004C0B5C"/>
    <w:rsid w:val="004C3A66"/>
    <w:rsid w:val="004F36E8"/>
    <w:rsid w:val="0051211C"/>
    <w:rsid w:val="00553EE7"/>
    <w:rsid w:val="005634C9"/>
    <w:rsid w:val="00571DBB"/>
    <w:rsid w:val="005C0505"/>
    <w:rsid w:val="006335F6"/>
    <w:rsid w:val="006438E4"/>
    <w:rsid w:val="00662598"/>
    <w:rsid w:val="00663F57"/>
    <w:rsid w:val="006873CD"/>
    <w:rsid w:val="006A57AD"/>
    <w:rsid w:val="006A5AFE"/>
    <w:rsid w:val="00770FD2"/>
    <w:rsid w:val="00775914"/>
    <w:rsid w:val="00786A7A"/>
    <w:rsid w:val="007D046B"/>
    <w:rsid w:val="00831E3D"/>
    <w:rsid w:val="00851CCC"/>
    <w:rsid w:val="00867B1F"/>
    <w:rsid w:val="0087027B"/>
    <w:rsid w:val="00893B7D"/>
    <w:rsid w:val="008C3596"/>
    <w:rsid w:val="008C3AD9"/>
    <w:rsid w:val="008F0E0F"/>
    <w:rsid w:val="00942FFF"/>
    <w:rsid w:val="009551E8"/>
    <w:rsid w:val="00960C27"/>
    <w:rsid w:val="009648AE"/>
    <w:rsid w:val="009913AE"/>
    <w:rsid w:val="00A052AC"/>
    <w:rsid w:val="00A318D0"/>
    <w:rsid w:val="00AE47DC"/>
    <w:rsid w:val="00BF3092"/>
    <w:rsid w:val="00C73F2C"/>
    <w:rsid w:val="00C9761C"/>
    <w:rsid w:val="00CA0658"/>
    <w:rsid w:val="00CF292D"/>
    <w:rsid w:val="00D01F2E"/>
    <w:rsid w:val="00D17C64"/>
    <w:rsid w:val="00D4688C"/>
    <w:rsid w:val="00D621C9"/>
    <w:rsid w:val="00D740F1"/>
    <w:rsid w:val="00D879DC"/>
    <w:rsid w:val="00DD1DE4"/>
    <w:rsid w:val="00DF0D15"/>
    <w:rsid w:val="00DF6D5B"/>
    <w:rsid w:val="00E00642"/>
    <w:rsid w:val="00E046E4"/>
    <w:rsid w:val="00E5522C"/>
    <w:rsid w:val="00EF67D0"/>
    <w:rsid w:val="00F222A6"/>
    <w:rsid w:val="00F53331"/>
    <w:rsid w:val="00F9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D3F0A"/>
  <w15:docId w15:val="{FD8F73FF-2610-404E-978F-704FA04B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A6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styleId="Header">
    <w:name w:val="header"/>
    <w:basedOn w:val="Normal"/>
    <w:link w:val="HeaderChar"/>
    <w:uiPriority w:val="99"/>
    <w:unhideWhenUsed/>
    <w:rsid w:val="0049293A"/>
    <w:pPr>
      <w:tabs>
        <w:tab w:val="center" w:pos="4680"/>
        <w:tab w:val="right" w:pos="9360"/>
      </w:tabs>
    </w:pPr>
  </w:style>
  <w:style w:type="character" w:customStyle="1" w:styleId="HeaderChar">
    <w:name w:val="Header Char"/>
    <w:basedOn w:val="DefaultParagraphFont"/>
    <w:link w:val="Header"/>
    <w:uiPriority w:val="99"/>
    <w:rsid w:val="0049293A"/>
    <w:rPr>
      <w:sz w:val="24"/>
    </w:rPr>
  </w:style>
  <w:style w:type="paragraph" w:styleId="Footer">
    <w:name w:val="footer"/>
    <w:basedOn w:val="Normal"/>
    <w:link w:val="FooterChar"/>
    <w:uiPriority w:val="99"/>
    <w:unhideWhenUsed/>
    <w:rsid w:val="0049293A"/>
    <w:pPr>
      <w:tabs>
        <w:tab w:val="center" w:pos="4680"/>
        <w:tab w:val="right" w:pos="9360"/>
      </w:tabs>
    </w:pPr>
  </w:style>
  <w:style w:type="character" w:customStyle="1" w:styleId="FooterChar">
    <w:name w:val="Footer Char"/>
    <w:basedOn w:val="DefaultParagraphFont"/>
    <w:link w:val="Footer"/>
    <w:uiPriority w:val="99"/>
    <w:rsid w:val="0049293A"/>
    <w:rPr>
      <w:sz w:val="24"/>
    </w:rPr>
  </w:style>
  <w:style w:type="paragraph" w:styleId="BalloonText">
    <w:name w:val="Balloon Text"/>
    <w:basedOn w:val="Normal"/>
    <w:link w:val="BalloonTextChar"/>
    <w:uiPriority w:val="99"/>
    <w:semiHidden/>
    <w:unhideWhenUsed/>
    <w:rsid w:val="0049293A"/>
    <w:rPr>
      <w:rFonts w:ascii="Tahoma" w:hAnsi="Tahoma" w:cs="Tahoma"/>
      <w:sz w:val="16"/>
      <w:szCs w:val="16"/>
    </w:rPr>
  </w:style>
  <w:style w:type="character" w:customStyle="1" w:styleId="BalloonTextChar">
    <w:name w:val="Balloon Text Char"/>
    <w:basedOn w:val="DefaultParagraphFont"/>
    <w:link w:val="BalloonText"/>
    <w:uiPriority w:val="99"/>
    <w:semiHidden/>
    <w:rsid w:val="0049293A"/>
    <w:rPr>
      <w:rFonts w:ascii="Tahoma" w:hAnsi="Tahoma" w:cs="Tahoma"/>
      <w:sz w:val="16"/>
      <w:szCs w:val="16"/>
    </w:rPr>
  </w:style>
  <w:style w:type="character" w:styleId="Hyperlink">
    <w:name w:val="Hyperlink"/>
    <w:basedOn w:val="DefaultParagraphFont"/>
    <w:uiPriority w:val="99"/>
    <w:unhideWhenUsed/>
    <w:rsid w:val="00831E3D"/>
    <w:rPr>
      <w:color w:val="0000FF" w:themeColor="hyperlink"/>
      <w:u w:val="single"/>
    </w:rPr>
  </w:style>
  <w:style w:type="character" w:styleId="PlaceholderText">
    <w:name w:val="Placeholder Text"/>
    <w:basedOn w:val="DefaultParagraphFont"/>
    <w:uiPriority w:val="99"/>
    <w:semiHidden/>
    <w:rsid w:val="00DF6D5B"/>
    <w:rPr>
      <w:color w:val="808080"/>
    </w:rPr>
  </w:style>
  <w:style w:type="paragraph" w:styleId="ListParagraph">
    <w:name w:val="List Paragraph"/>
    <w:basedOn w:val="Normal"/>
    <w:uiPriority w:val="34"/>
    <w:qFormat/>
    <w:rsid w:val="004C0B5C"/>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997">
      <w:bodyDiv w:val="1"/>
      <w:marLeft w:val="0"/>
      <w:marRight w:val="0"/>
      <w:marTop w:val="0"/>
      <w:marBottom w:val="0"/>
      <w:divBdr>
        <w:top w:val="none" w:sz="0" w:space="0" w:color="auto"/>
        <w:left w:val="none" w:sz="0" w:space="0" w:color="auto"/>
        <w:bottom w:val="none" w:sz="0" w:space="0" w:color="auto"/>
        <w:right w:val="none" w:sz="0" w:space="0" w:color="auto"/>
      </w:divBdr>
    </w:div>
    <w:div w:id="232862745">
      <w:bodyDiv w:val="1"/>
      <w:marLeft w:val="0"/>
      <w:marRight w:val="0"/>
      <w:marTop w:val="0"/>
      <w:marBottom w:val="0"/>
      <w:divBdr>
        <w:top w:val="none" w:sz="0" w:space="0" w:color="auto"/>
        <w:left w:val="none" w:sz="0" w:space="0" w:color="auto"/>
        <w:bottom w:val="none" w:sz="0" w:space="0" w:color="auto"/>
        <w:right w:val="none" w:sz="0" w:space="0" w:color="auto"/>
      </w:divBdr>
    </w:div>
    <w:div w:id="163679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2017-02-18T00:00:00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EA2BB1-85F2-4242-A1FC-61C4298D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Matter</dc:subject>
  <dc:creator>Dan Smith</dc:creator>
  <dc:description>Date</dc:description>
  <cp:lastModifiedBy>Stephanie Binschus</cp:lastModifiedBy>
  <cp:revision>11</cp:revision>
  <cp:lastPrinted>2021-01-12T04:28:00Z</cp:lastPrinted>
  <dcterms:created xsi:type="dcterms:W3CDTF">2021-01-13T14:00:00Z</dcterms:created>
  <dcterms:modified xsi:type="dcterms:W3CDTF">2023-08-19T16:11:00Z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6d798f4d848259b4e49200c7dbc1eaf8c0cdf9774e18455b626a203e362bba01</vt:lpwstr>
  </property>
</Properties>
</file>